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240" w:lineRule="auto"/>
        <w:ind w:left="0" w:leftChars="0" w:right="0" w:rightChars="0" w:firstLine="0" w:firstLineChars="0"/>
        <w:jc w:val="left"/>
        <w:textAlignment w:val="auto"/>
        <w:outlineLvl w:val="9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 w:val="0"/>
          <w:bCs/>
          <w:sz w:val="24"/>
          <w:szCs w:val="24"/>
        </w:rPr>
        <w:t>附表2：</w:t>
      </w:r>
      <w:r>
        <w:rPr>
          <w:rFonts w:hint="eastAsia" w:ascii="宋体" w:hAnsi="宋体"/>
          <w:b/>
          <w:sz w:val="32"/>
          <w:szCs w:val="32"/>
        </w:rPr>
        <w:t xml:space="preserve">       </w:t>
      </w:r>
      <w:r>
        <w:rPr>
          <w:rFonts w:hint="eastAsia" w:ascii="宋体" w:hAnsi="宋体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宋体" w:hAnsi="宋体"/>
          <w:b/>
          <w:sz w:val="32"/>
          <w:szCs w:val="32"/>
        </w:rPr>
        <w:t xml:space="preserve">  “伦教木工机械”集体商标评审表</w:t>
      </w:r>
      <w:bookmarkStart w:id="0" w:name="_GoBack"/>
      <w:bookmarkEnd w:id="0"/>
    </w:p>
    <w:tbl>
      <w:tblPr>
        <w:tblStyle w:val="7"/>
        <w:tblW w:w="1022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0"/>
        <w:gridCol w:w="1228"/>
        <w:gridCol w:w="500"/>
        <w:gridCol w:w="6782"/>
        <w:gridCol w:w="85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8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一级指标</w:t>
            </w:r>
          </w:p>
        </w:tc>
        <w:tc>
          <w:tcPr>
            <w:tcW w:w="122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二级指标</w:t>
            </w:r>
          </w:p>
        </w:tc>
        <w:tc>
          <w:tcPr>
            <w:tcW w:w="5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6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评审细则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 w:val="20"/>
                <w:szCs w:val="20"/>
              </w:rPr>
              <w:t>分值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企业管理（10分）</w:t>
            </w: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企业目标、战略</w:t>
            </w:r>
          </w:p>
        </w:tc>
        <w:tc>
          <w:tcPr>
            <w:tcW w:w="50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</w:p>
        </w:tc>
        <w:tc>
          <w:tcPr>
            <w:tcW w:w="6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□有明确的企业目标和战略并用文件规范，得3分；</w:t>
            </w:r>
          </w:p>
        </w:tc>
        <w:tc>
          <w:tcPr>
            <w:tcW w:w="8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0" w:type="dxa"/>
            <w:vMerge w:val="continue"/>
            <w:tcBorders>
              <w:top w:val="single" w:color="auto" w:sz="4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□有企业目标和战略，但没有以文件形式规范，得1分；</w:t>
            </w:r>
          </w:p>
        </w:tc>
        <w:tc>
          <w:tcPr>
            <w:tcW w:w="8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□无企业目标和战略，得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分。</w:t>
            </w:r>
          </w:p>
        </w:tc>
        <w:tc>
          <w:tcPr>
            <w:tcW w:w="850" w:type="dxa"/>
            <w:vMerge w:val="continue"/>
            <w:tcBorders>
              <w:top w:val="single" w:color="auto" w:sz="8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企业架构、分工明确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□有明确的组织架构，设置重点职能部门如人力资源、财务、技术、品管、采购、售后等，有明确的管理流程，得4分；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□仅对工作进行分工，职能部门缺失，得2分；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□组织架构，职能部门全无，得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分。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规范管理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□有至少包括人事、财务、品管、采购、技术、售后服务等方面的管理制度，得3分；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860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□有至少包括人事、财务、品管、采购、技术、售后服务等方面的管理制度，每缺一项扣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分，扣完止。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质量管理</w:t>
            </w: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（36分）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质量管理机构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□设有质量管理机构、专职的质量管理员，得5分；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□未设有质量管理机构但有兼职的管理人员，得2分；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□质量管理机构和质量管理人员全无，不得分。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质量管理制度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□有质量管理制度文件包括职责及管理办法，得5分；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□无质量管理制度文件包括职责及管理办法，不得分。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质量体系认证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6</w:t>
            </w:r>
          </w:p>
        </w:tc>
        <w:tc>
          <w:tcPr>
            <w:tcW w:w="6782" w:type="dxa"/>
            <w:tcBorders>
              <w:top w:val="single" w:color="auto" w:sz="4" w:space="0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□通过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ISO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等相关质量管理体系认证，有完善的管理文件，并有效运行，得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分；</w:t>
            </w:r>
          </w:p>
        </w:tc>
        <w:tc>
          <w:tcPr>
            <w:tcW w:w="850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□通过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ISO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等相关质量管理体系认证，但没有切实运行，得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分；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□无通过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ISO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等相关质量管理体系认证，不得分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□或：企业建立自身的质量管理体系，并有效运行，得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</w:t>
            </w:r>
          </w:p>
        </w:tc>
        <w:tc>
          <w:tcPr>
            <w:tcW w:w="850" w:type="dxa"/>
            <w:vMerge w:val="continue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计量管理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7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□在用计量器具经法定检测部门检定、校准、有效使用得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分；每漏检或超期一项扣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分；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8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□建立计量器具管理台帐得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分，有台账但不完善得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分，无台账不得分。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检验、检测制度的建立与执行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9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□原材料、生产过程、产品出厂检验、返修返工四项制度完善并有效执行，得2分；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□原材料、生产过程、产品出厂检验、返修返工四项制度，每缺一项扣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分，扣完本项得分为止；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□检验设备完备（包括：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 xml:space="preserve">         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）得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□检验设备，每缺一项扣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0.5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分；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售后服务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11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□有售后服务团队，妥善处理用户意见，得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□无售后服务团队不得分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按标生产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2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□有效国际、国家及行业标准、联盟标准、企业标准（经备案）中任一项的得4分；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□未有执行国际、国家及行业标准、联盟标准、企业标准（经备案）的，不得分。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产品认证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3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kern w:val="0"/>
                <w:sz w:val="20"/>
                <w:szCs w:val="20"/>
              </w:rPr>
              <w:t>□申请产品获国内、外产品认证得</w:t>
            </w: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/>
                <w:kern w:val="0"/>
                <w:sz w:val="20"/>
                <w:szCs w:val="20"/>
              </w:rPr>
              <w:t>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□申请产品没有获国内、外产品认证不得分。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技术管理（30分）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架构设置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</w:t>
            </w:r>
            <w:r>
              <w:rPr>
                <w:rFonts w:hint="eastAsia" w:ascii="Times New Roman" w:hAnsi="Times New Roman"/>
                <w:kern w:val="0"/>
                <w:sz w:val="20"/>
                <w:szCs w:val="20"/>
              </w:rPr>
              <w:t>4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□设有技术部门、有2名以上大专以上学历的专职的技术人员，得5分；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□有技术部门，专业技术人员不足，每差一人扣2分；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□无有技术部门和技术人员，不得分。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办公条件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15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□有独立的办公场所，配有办公设施：电脑、扫描、打印机得4分，每缺一项扣2分。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16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□有2项（含）以上适用的设计应用和管理软件得4分，少一项扣2分。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工作内容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17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□有编制岗位作业指导书,包括:工艺条件、操作程序、安全事项、故障排除,总5分，每缺一项扣2 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18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□有编制完善的产品设计图纸（5分），每缺一项扣2 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19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□每年至少开展一次员工的生产技术或售后等培训得3分，无则不得分。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文件管理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20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□有档案管理人员，档案集中管理，便于技术追溯，得4分；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□设有档案管理人员，但仅有部分技术档案有存档汇总，得2分；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□未有档案管理人员，也未开展档案集中管理，不得分。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现场管理（9分）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清洁生产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21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□生产环境清洁，光线满足，得4分；生产环境不够清洁，光线阴暗，不得分。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现场规范，定置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22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□实行定置管理，有规定的区域划线，并实现定置存放物料，得5分；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□实行定置管理，有规定的区域划线，但物料未定置存放，得3分；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□未有定置区域划线，但物料存放整齐，现场有序，得3分；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□未有定置区域划线，物料存放混乱，不得分。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restart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自主创新能力  （65分）</w:t>
            </w: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核心技术</w:t>
            </w: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23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□申请产品有自主核心专利技术（发明专利、实用新型专利）之一，得10分；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□申请产品仅有外观专利技术，得5分；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□无则不得分；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24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□近3年参与国际标准、国家标准、行业标准、地方标准制定及修订，得5分；</w:t>
            </w:r>
          </w:p>
        </w:tc>
        <w:tc>
          <w:tcPr>
            <w:tcW w:w="85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□近3年参与企业联盟标准制定及修订，得4分。</w:t>
            </w:r>
          </w:p>
        </w:tc>
        <w:tc>
          <w:tcPr>
            <w:tcW w:w="85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Times New Roman" w:hAnsi="Times New Roman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科技创新能力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25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□设备实现智能、全自动、PLC控制等自动化生产，专家综合评分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26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□设备有机器代人程序，专家综合评分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27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□产品的工艺优化，先进合理性，专家综合评分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28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□设备零部件选料优质，专家综合评分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29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□产品的外观设计美观、适用、符合人机优配、精益生产，专家综合评分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860" w:type="dxa"/>
            <w:vMerge w:val="continue"/>
            <w:tcBorders>
              <w:top w:val="nil"/>
              <w:left w:val="single" w:color="auto" w:sz="8" w:space="0"/>
              <w:bottom w:val="single" w:color="000000" w:sz="8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</w:p>
        </w:tc>
        <w:tc>
          <w:tcPr>
            <w:tcW w:w="1228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发展符合性评价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30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 xml:space="preserve">专家综合评分    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25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86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122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总分</w:t>
            </w: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Cs w:val="21"/>
              </w:rPr>
            </w:pPr>
            <w:r>
              <w:rPr>
                <w:rFonts w:hint="eastAsia" w:ascii="仿宋_GB2312" w:hAnsi="宋体" w:eastAsia="仿宋_GB2312" w:cs="宋体"/>
                <w:kern w:val="0"/>
                <w:szCs w:val="21"/>
              </w:rPr>
              <w:t>　</w:t>
            </w:r>
          </w:p>
        </w:tc>
        <w:tc>
          <w:tcPr>
            <w:tcW w:w="678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Times New Roman" w:hAnsi="Times New Roman"/>
                <w:kern w:val="0"/>
                <w:sz w:val="20"/>
                <w:szCs w:val="20"/>
              </w:rPr>
            </w:pPr>
            <w:r>
              <w:rPr>
                <w:rFonts w:ascii="Times New Roman" w:hAnsi="Times New Roman"/>
                <w:kern w:val="0"/>
                <w:sz w:val="20"/>
                <w:szCs w:val="20"/>
              </w:rPr>
              <w:t>150</w:t>
            </w:r>
          </w:p>
        </w:tc>
      </w:tr>
    </w:tbl>
    <w:p/>
    <w:p>
      <w:pPr>
        <w:spacing w:line="500" w:lineRule="exact"/>
        <w:jc w:val="left"/>
        <w:rPr>
          <w:rFonts w:ascii="黑体" w:hAnsi="仿宋" w:eastAsia="黑体"/>
          <w:sz w:val="32"/>
          <w:szCs w:val="32"/>
        </w:rPr>
      </w:pPr>
    </w:p>
    <w:p>
      <w:pPr>
        <w:spacing w:line="312" w:lineRule="auto"/>
        <w:rPr>
          <w:rFonts w:ascii="华文楷体" w:hAnsi="华文楷体" w:eastAsia="华文楷体" w:cs="华文楷体"/>
          <w:sz w:val="28"/>
          <w:szCs w:val="28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191" w:right="1191" w:bottom="1191" w:left="1191" w:header="851" w:footer="567" w:gutter="0"/>
      <w:pgNumType w:fmt="numberInDash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IPJFFJ+CTBiaoSongSJ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angSong-Z02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- 15 -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AB2B93"/>
    <w:rsid w:val="00001B83"/>
    <w:rsid w:val="000223D8"/>
    <w:rsid w:val="00025B57"/>
    <w:rsid w:val="00064D1E"/>
    <w:rsid w:val="000F2EBC"/>
    <w:rsid w:val="00124518"/>
    <w:rsid w:val="00144360"/>
    <w:rsid w:val="001B76A1"/>
    <w:rsid w:val="001C700E"/>
    <w:rsid w:val="00291138"/>
    <w:rsid w:val="002B0437"/>
    <w:rsid w:val="002F7E26"/>
    <w:rsid w:val="00300EAB"/>
    <w:rsid w:val="00316764"/>
    <w:rsid w:val="003726C6"/>
    <w:rsid w:val="00376D00"/>
    <w:rsid w:val="003C0561"/>
    <w:rsid w:val="003D63BC"/>
    <w:rsid w:val="003F65AE"/>
    <w:rsid w:val="00401E15"/>
    <w:rsid w:val="004A112B"/>
    <w:rsid w:val="004A394F"/>
    <w:rsid w:val="004B682B"/>
    <w:rsid w:val="00515F1B"/>
    <w:rsid w:val="005A0785"/>
    <w:rsid w:val="005A75C2"/>
    <w:rsid w:val="005F5E4A"/>
    <w:rsid w:val="006D3DB5"/>
    <w:rsid w:val="007110BE"/>
    <w:rsid w:val="007E5258"/>
    <w:rsid w:val="00833C69"/>
    <w:rsid w:val="00841676"/>
    <w:rsid w:val="00901098"/>
    <w:rsid w:val="00914BA3"/>
    <w:rsid w:val="00980138"/>
    <w:rsid w:val="009A0737"/>
    <w:rsid w:val="00A50C9C"/>
    <w:rsid w:val="00AC5148"/>
    <w:rsid w:val="00B015F4"/>
    <w:rsid w:val="00B324EC"/>
    <w:rsid w:val="00B45113"/>
    <w:rsid w:val="00B764E1"/>
    <w:rsid w:val="00B8567B"/>
    <w:rsid w:val="00CB0214"/>
    <w:rsid w:val="00CE3AD0"/>
    <w:rsid w:val="00D437E4"/>
    <w:rsid w:val="00DB61F4"/>
    <w:rsid w:val="00E31548"/>
    <w:rsid w:val="00E42B04"/>
    <w:rsid w:val="00E7569C"/>
    <w:rsid w:val="00F8239D"/>
    <w:rsid w:val="031D2858"/>
    <w:rsid w:val="037102DC"/>
    <w:rsid w:val="063F064D"/>
    <w:rsid w:val="0B066911"/>
    <w:rsid w:val="0B573E82"/>
    <w:rsid w:val="0E023342"/>
    <w:rsid w:val="2F0026A3"/>
    <w:rsid w:val="2F8C0A5C"/>
    <w:rsid w:val="329211A2"/>
    <w:rsid w:val="336974B2"/>
    <w:rsid w:val="43165D9C"/>
    <w:rsid w:val="45B704D6"/>
    <w:rsid w:val="4882130A"/>
    <w:rsid w:val="496D38F1"/>
    <w:rsid w:val="4E412F73"/>
    <w:rsid w:val="55F36015"/>
    <w:rsid w:val="592C0776"/>
    <w:rsid w:val="5CC901CB"/>
    <w:rsid w:val="5F7D11B1"/>
    <w:rsid w:val="61AC1050"/>
    <w:rsid w:val="62F65B68"/>
    <w:rsid w:val="64601747"/>
    <w:rsid w:val="655D3D58"/>
    <w:rsid w:val="67FF23DA"/>
    <w:rsid w:val="68AB2B93"/>
    <w:rsid w:val="75A466CD"/>
    <w:rsid w:val="76AC1C09"/>
    <w:rsid w:val="7B805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qFormat/>
    <w:uiPriority w:val="0"/>
    <w:rPr>
      <w:sz w:val="18"/>
      <w:szCs w:val="18"/>
    </w:rPr>
  </w:style>
  <w:style w:type="paragraph" w:styleId="3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qFormat/>
    <w:uiPriority w:val="0"/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批注框文本 Char"/>
    <w:basedOn w:val="5"/>
    <w:link w:val="2"/>
    <w:qFormat/>
    <w:uiPriority w:val="0"/>
    <w:rPr>
      <w:kern w:val="2"/>
      <w:sz w:val="18"/>
      <w:szCs w:val="18"/>
    </w:rPr>
  </w:style>
  <w:style w:type="paragraph" w:customStyle="1" w:styleId="10">
    <w:name w:val="_Style 1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1">
    <w:name w:val="列出段落1"/>
    <w:basedOn w:val="1"/>
    <w:qFormat/>
    <w:uiPriority w:val="34"/>
    <w:pPr>
      <w:ind w:firstLine="420" w:firstLineChars="200"/>
    </w:pPr>
    <w:rPr>
      <w:rFonts w:ascii="Calibri" w:hAnsi="Calibri" w:eastAsia="宋体" w:cs="Times New Roman"/>
      <w:szCs w:val="22"/>
    </w:rPr>
  </w:style>
  <w:style w:type="paragraph" w:customStyle="1" w:styleId="12">
    <w:name w:val="reader-word-laye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13">
    <w:name w:val="页眉 Char"/>
    <w:basedOn w:val="5"/>
    <w:link w:val="4"/>
    <w:qFormat/>
    <w:uiPriority w:val="99"/>
    <w:rPr>
      <w:kern w:val="2"/>
      <w:sz w:val="18"/>
      <w:szCs w:val="18"/>
    </w:rPr>
  </w:style>
  <w:style w:type="character" w:customStyle="1" w:styleId="14">
    <w:name w:val="页脚 Char"/>
    <w:basedOn w:val="5"/>
    <w:link w:val="3"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6614737-E14F-413B-8DA0-F38F89D86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15</Pages>
  <Words>1242</Words>
  <Characters>7085</Characters>
  <Lines>59</Lines>
  <Paragraphs>16</Paragraphs>
  <ScaleCrop>false</ScaleCrop>
  <LinksUpToDate>false</LinksUpToDate>
  <CharactersWithSpaces>8311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2017-07-20T08:52:00Z</dcterms:created>
  <dc:creator>Administrator</dc:creator>
  <cp:lastModifiedBy>伦教木工机械商会</cp:lastModifiedBy>
  <cp:lastPrinted>2017-07-31T01:49:00Z</cp:lastPrinted>
  <dcterms:modified xsi:type="dcterms:W3CDTF">2017-11-14T03:19:17Z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